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9F5" w:rsidRDefault="00011365" w:rsidP="00B879F5">
      <w:pPr>
        <w:jc w:val="center"/>
        <w:textAlignment w:val="center"/>
        <w:rPr>
          <w:rFonts w:ascii="Arial" w:hAnsi="Arial" w:cs="Arial"/>
          <w:color w:val="000000"/>
          <w:lang w:val="es-ES_tradnl"/>
        </w:rPr>
      </w:pPr>
      <w:bookmarkStart w:id="0" w:name="_GoBack"/>
      <w:bookmarkEnd w:id="0"/>
      <w:r w:rsidRPr="00B879F5">
        <w:rPr>
          <w:rFonts w:ascii="Arial" w:eastAsia="Times New Roman" w:hAnsi="Arial" w:cs="Arial"/>
          <w:b/>
          <w:color w:val="000000"/>
          <w:lang w:val="es-ES_tradnl"/>
        </w:rPr>
        <w:t>TEXTO APROBADO EN COMISION PRIMERA DE LA HONORABLE CAMARA DE REPRESENTANTES E</w:t>
      </w:r>
      <w:r w:rsidR="00703026" w:rsidRPr="00B879F5">
        <w:rPr>
          <w:rFonts w:ascii="Arial" w:eastAsia="Times New Roman" w:hAnsi="Arial" w:cs="Arial"/>
          <w:b/>
          <w:color w:val="000000"/>
          <w:lang w:val="es-ES_tradnl"/>
        </w:rPr>
        <w:t>N</w:t>
      </w:r>
      <w:r w:rsidRPr="00B879F5">
        <w:rPr>
          <w:rFonts w:ascii="Arial" w:eastAsia="Times New Roman" w:hAnsi="Arial" w:cs="Arial"/>
          <w:b/>
          <w:color w:val="000000"/>
          <w:lang w:val="es-ES_tradnl"/>
        </w:rPr>
        <w:t xml:space="preserve"> PRIMER DEBATE </w:t>
      </w:r>
      <w:r w:rsidR="00703026" w:rsidRPr="00B879F5">
        <w:rPr>
          <w:rFonts w:ascii="Arial" w:eastAsia="Times New Roman" w:hAnsi="Arial" w:cs="Arial"/>
          <w:b/>
          <w:color w:val="000000"/>
          <w:lang w:val="es-ES_tradnl"/>
        </w:rPr>
        <w:t xml:space="preserve">PRIMERA VUELTA </w:t>
      </w:r>
      <w:r w:rsidRPr="00B879F5">
        <w:rPr>
          <w:rFonts w:ascii="Arial" w:eastAsia="Times New Roman" w:hAnsi="Arial" w:cs="Arial"/>
          <w:b/>
          <w:color w:val="000000"/>
          <w:lang w:val="es-ES_tradnl"/>
        </w:rPr>
        <w:t xml:space="preserve">DEL </w:t>
      </w:r>
      <w:r w:rsidR="007F7ACB" w:rsidRPr="00B879F5">
        <w:rPr>
          <w:rFonts w:ascii="Arial" w:eastAsia="Times New Roman" w:hAnsi="Arial" w:cs="Arial"/>
          <w:b/>
          <w:color w:val="000000"/>
          <w:lang w:val="es-ES_tradnl"/>
        </w:rPr>
        <w:t xml:space="preserve">PROYECTO DE </w:t>
      </w:r>
      <w:r w:rsidR="007F7ACB" w:rsidRPr="00B879F5">
        <w:rPr>
          <w:rFonts w:ascii="Arial" w:hAnsi="Arial" w:cs="Arial"/>
          <w:b/>
          <w:bCs/>
        </w:rPr>
        <w:t>ACTO LEGISLATIVO N</w:t>
      </w:r>
      <w:r w:rsidR="00B879F5">
        <w:rPr>
          <w:rFonts w:ascii="Arial" w:hAnsi="Arial" w:cs="Arial"/>
          <w:b/>
          <w:bCs/>
        </w:rPr>
        <w:t>o</w:t>
      </w:r>
      <w:r w:rsidR="007F7ACB" w:rsidRPr="00B879F5">
        <w:rPr>
          <w:rFonts w:ascii="Arial" w:hAnsi="Arial" w:cs="Arial"/>
          <w:b/>
          <w:bCs/>
        </w:rPr>
        <w:t xml:space="preserve">. </w:t>
      </w:r>
      <w:r w:rsidR="00B879F5" w:rsidRPr="00B879F5">
        <w:rPr>
          <w:rFonts w:ascii="Arial" w:hAnsi="Arial" w:cs="Arial"/>
          <w:b/>
          <w:color w:val="000000"/>
          <w:lang w:val="es-ES_tradnl"/>
        </w:rPr>
        <w:t>265 DE 2017C – 013 DE 2017S</w:t>
      </w:r>
      <w:r w:rsidR="00B879F5" w:rsidRPr="00B879F5">
        <w:rPr>
          <w:rFonts w:ascii="Arial" w:hAnsi="Arial" w:cs="Arial"/>
          <w:color w:val="000000"/>
          <w:lang w:val="es-ES_tradnl"/>
        </w:rPr>
        <w:t xml:space="preserve"> </w:t>
      </w:r>
    </w:p>
    <w:p w:rsidR="00373F20" w:rsidRDefault="00373F20" w:rsidP="00B879F5">
      <w:pPr>
        <w:jc w:val="center"/>
        <w:textAlignment w:val="center"/>
        <w:rPr>
          <w:rFonts w:ascii="Arial" w:hAnsi="Arial" w:cs="Arial"/>
          <w:b/>
          <w:color w:val="000000"/>
          <w:lang w:val="es-ES_tradnl"/>
        </w:rPr>
      </w:pPr>
    </w:p>
    <w:p w:rsidR="00B879F5" w:rsidRPr="00B879F5" w:rsidRDefault="00B879F5" w:rsidP="00B879F5">
      <w:pPr>
        <w:jc w:val="center"/>
        <w:textAlignment w:val="center"/>
        <w:rPr>
          <w:rFonts w:ascii="Arial" w:hAnsi="Arial" w:cs="Arial"/>
          <w:b/>
          <w:color w:val="000000"/>
          <w:lang w:val="es-ES_tradnl"/>
        </w:rPr>
      </w:pPr>
      <w:r w:rsidRPr="00B879F5">
        <w:rPr>
          <w:rFonts w:ascii="Arial" w:hAnsi="Arial" w:cs="Arial"/>
          <w:b/>
          <w:color w:val="000000"/>
          <w:lang w:val="es-ES_tradnl"/>
        </w:rPr>
        <w:t>“POR MEDIO DE LA CUAL SE MODIFICAN LOS ARTÍCULOS 186, 234 Y 235 DE LA CONSTITUCIÓN POLÍTICA Y SE IMPLEMENTAN EL DERECHO A LA DOBLE INSTANCIA Y A IMPUGNAR LA PRIMERA SENTENCIA CONDENATORIA.”</w:t>
      </w:r>
    </w:p>
    <w:p w:rsidR="00B879F5" w:rsidRDefault="00B879F5" w:rsidP="00B879F5">
      <w:pPr>
        <w:adjustRightInd w:val="0"/>
        <w:spacing w:before="57" w:after="57" w:line="288" w:lineRule="auto"/>
        <w:jc w:val="center"/>
        <w:textAlignment w:val="center"/>
        <w:rPr>
          <w:rFonts w:ascii="Arial" w:hAnsi="Arial" w:cs="Arial"/>
          <w:b/>
          <w:color w:val="000000"/>
          <w:lang w:val="es-ES_tradnl"/>
        </w:rPr>
      </w:pPr>
    </w:p>
    <w:p w:rsidR="00373F20" w:rsidRPr="00B879F5" w:rsidRDefault="00373F20" w:rsidP="00B879F5">
      <w:pPr>
        <w:adjustRightInd w:val="0"/>
        <w:spacing w:before="57" w:after="57" w:line="288" w:lineRule="auto"/>
        <w:jc w:val="center"/>
        <w:textAlignment w:val="center"/>
        <w:rPr>
          <w:rFonts w:ascii="Arial" w:hAnsi="Arial" w:cs="Arial"/>
          <w:b/>
          <w:color w:val="000000"/>
          <w:lang w:val="es-ES_tradnl"/>
        </w:rPr>
      </w:pPr>
    </w:p>
    <w:p w:rsidR="00B879F5" w:rsidRPr="00B879F5" w:rsidRDefault="00B879F5" w:rsidP="00B879F5">
      <w:pPr>
        <w:adjustRightInd w:val="0"/>
        <w:spacing w:before="57" w:after="57" w:line="288" w:lineRule="auto"/>
        <w:jc w:val="center"/>
        <w:textAlignment w:val="center"/>
        <w:rPr>
          <w:rFonts w:ascii="Arial" w:hAnsi="Arial" w:cs="Arial"/>
          <w:b/>
          <w:color w:val="000000"/>
          <w:lang w:val="es-ES_tradnl"/>
        </w:rPr>
      </w:pPr>
      <w:r w:rsidRPr="00B879F5">
        <w:rPr>
          <w:rFonts w:ascii="Arial" w:hAnsi="Arial" w:cs="Arial"/>
          <w:b/>
          <w:color w:val="000000"/>
          <w:lang w:val="es-ES_tradnl"/>
        </w:rPr>
        <w:t>EL CONGRESO DE COLOMBIA,</w:t>
      </w:r>
    </w:p>
    <w:p w:rsidR="00B879F5" w:rsidRDefault="00B879F5" w:rsidP="00B879F5">
      <w:pPr>
        <w:adjustRightInd w:val="0"/>
        <w:spacing w:before="57" w:after="57" w:line="288" w:lineRule="auto"/>
        <w:jc w:val="center"/>
        <w:textAlignment w:val="center"/>
        <w:rPr>
          <w:rFonts w:ascii="Arial" w:hAnsi="Arial" w:cs="Arial"/>
          <w:b/>
          <w:color w:val="000000"/>
          <w:lang w:val="es-ES_tradnl"/>
        </w:rPr>
      </w:pPr>
    </w:p>
    <w:p w:rsidR="00B879F5" w:rsidRPr="00B879F5" w:rsidRDefault="00B879F5" w:rsidP="00B879F5">
      <w:pPr>
        <w:adjustRightInd w:val="0"/>
        <w:spacing w:before="57" w:after="57" w:line="288" w:lineRule="auto"/>
        <w:jc w:val="center"/>
        <w:textAlignment w:val="center"/>
        <w:rPr>
          <w:rFonts w:ascii="Arial" w:hAnsi="Arial" w:cs="Arial"/>
          <w:b/>
          <w:color w:val="000000"/>
          <w:lang w:val="es-ES_tradnl"/>
        </w:rPr>
      </w:pPr>
      <w:r w:rsidRPr="00B879F5">
        <w:rPr>
          <w:rFonts w:ascii="Arial" w:hAnsi="Arial" w:cs="Arial"/>
          <w:b/>
          <w:color w:val="000000"/>
          <w:lang w:val="es-ES_tradnl"/>
        </w:rPr>
        <w:t>DECRETA:</w:t>
      </w:r>
    </w:p>
    <w:p w:rsidR="00B879F5" w:rsidRDefault="00B879F5" w:rsidP="00B879F5">
      <w:pPr>
        <w:adjustRightInd w:val="0"/>
        <w:spacing w:before="57" w:after="57" w:line="288" w:lineRule="auto"/>
        <w:ind w:firstLine="283"/>
        <w:jc w:val="center"/>
        <w:textAlignment w:val="center"/>
        <w:rPr>
          <w:rFonts w:ascii="Arial" w:hAnsi="Arial" w:cs="Arial"/>
          <w:b/>
          <w:color w:val="000000"/>
          <w:lang w:val="es-ES_tradnl"/>
        </w:rPr>
      </w:pPr>
    </w:p>
    <w:p w:rsidR="00373F20" w:rsidRPr="00B879F5" w:rsidRDefault="00373F20" w:rsidP="00B879F5">
      <w:pPr>
        <w:adjustRightInd w:val="0"/>
        <w:spacing w:before="57" w:after="57" w:line="288" w:lineRule="auto"/>
        <w:ind w:firstLine="283"/>
        <w:jc w:val="center"/>
        <w:textAlignment w:val="center"/>
        <w:rPr>
          <w:rFonts w:ascii="Arial" w:hAnsi="Arial" w:cs="Arial"/>
          <w:b/>
          <w:color w:val="000000"/>
          <w:lang w:val="es-ES_tradnl"/>
        </w:rPr>
      </w:pPr>
    </w:p>
    <w:p w:rsidR="00B879F5" w:rsidRPr="00B879F5" w:rsidRDefault="00B879F5" w:rsidP="00B879F5">
      <w:pPr>
        <w:adjustRightInd w:val="0"/>
        <w:spacing w:before="57" w:after="57" w:line="288" w:lineRule="auto"/>
        <w:ind w:firstLine="283"/>
        <w:jc w:val="both"/>
        <w:textAlignment w:val="center"/>
        <w:rPr>
          <w:rFonts w:ascii="Arial" w:eastAsia="Times New Roman" w:hAnsi="Arial" w:cs="Arial"/>
        </w:rPr>
      </w:pPr>
      <w:r w:rsidRPr="00B879F5">
        <w:rPr>
          <w:rFonts w:ascii="Arial" w:hAnsi="Arial" w:cs="Arial"/>
          <w:b/>
          <w:color w:val="000000"/>
          <w:lang w:val="es-ES_tradnl"/>
        </w:rPr>
        <w:t>Artículo 1.</w:t>
      </w:r>
      <w:r w:rsidRPr="00B879F5">
        <w:rPr>
          <w:rFonts w:ascii="Arial" w:hAnsi="Arial" w:cs="Arial"/>
          <w:color w:val="000000"/>
          <w:lang w:val="es-ES_tradnl"/>
        </w:rPr>
        <w:t xml:space="preserve"> Adicionar el </w:t>
      </w:r>
      <w:r>
        <w:rPr>
          <w:rFonts w:ascii="Arial" w:hAnsi="Arial" w:cs="Arial"/>
          <w:color w:val="000000"/>
          <w:lang w:val="es-ES_tradnl"/>
        </w:rPr>
        <w:t>A</w:t>
      </w:r>
      <w:r w:rsidRPr="00B879F5">
        <w:rPr>
          <w:rFonts w:ascii="Arial" w:hAnsi="Arial" w:cs="Arial"/>
          <w:color w:val="000000"/>
          <w:lang w:val="es-ES_tradnl"/>
        </w:rPr>
        <w:t>rtículo 186 de la Constitución Política el cual quedará así:</w:t>
      </w:r>
    </w:p>
    <w:p w:rsidR="00B879F5" w:rsidRPr="00B879F5" w:rsidRDefault="00B879F5" w:rsidP="00B879F5">
      <w:pPr>
        <w:adjustRightInd w:val="0"/>
        <w:spacing w:before="57" w:after="57" w:line="288" w:lineRule="auto"/>
        <w:ind w:firstLine="283"/>
        <w:jc w:val="both"/>
        <w:textAlignment w:val="center"/>
        <w:rPr>
          <w:rFonts w:ascii="Arial" w:eastAsia="Times New Roman" w:hAnsi="Arial" w:cs="Arial"/>
        </w:rPr>
      </w:pPr>
      <w:r w:rsidRPr="00B879F5">
        <w:rPr>
          <w:rFonts w:ascii="Arial" w:hAnsi="Arial" w:cs="Arial"/>
          <w:color w:val="000000"/>
          <w:lang w:val="es-ES_tradnl"/>
        </w:rPr>
        <w:t>“</w:t>
      </w:r>
      <w:r w:rsidRPr="00B879F5">
        <w:rPr>
          <w:rFonts w:ascii="Arial" w:hAnsi="Arial" w:cs="Arial"/>
          <w:b/>
          <w:bCs/>
          <w:color w:val="000000"/>
          <w:lang w:val="es-ES_tradnl"/>
        </w:rPr>
        <w:t>Artículo 186.</w:t>
      </w:r>
      <w:r w:rsidRPr="00B879F5">
        <w:rPr>
          <w:rFonts w:ascii="Arial" w:hAnsi="Arial" w:cs="Arial"/>
          <w:color w:val="000000"/>
          <w:lang w:val="es-ES_tradnl"/>
        </w:rPr>
        <w:t xml:space="preserve"> De los delitos que cometan los congresistas, conocerá en forma privativa la Corte Suprema de Justicia, única autoridad que podrá ordenar su detención. En caso de flagrante delito deberán ser aprehendidos y puestos inmediatamente a disposición de la misma corporación.</w:t>
      </w:r>
    </w:p>
    <w:p w:rsidR="00B879F5" w:rsidRPr="00B879F5" w:rsidRDefault="00B879F5" w:rsidP="00B879F5">
      <w:pPr>
        <w:adjustRightInd w:val="0"/>
        <w:spacing w:before="57" w:after="57" w:line="288" w:lineRule="auto"/>
        <w:ind w:firstLine="283"/>
        <w:jc w:val="both"/>
        <w:textAlignment w:val="center"/>
        <w:rPr>
          <w:rFonts w:ascii="Arial" w:eastAsia="Times New Roman" w:hAnsi="Arial" w:cs="Arial"/>
        </w:rPr>
      </w:pPr>
      <w:r w:rsidRPr="00B879F5">
        <w:rPr>
          <w:rFonts w:ascii="Arial" w:hAnsi="Arial" w:cs="Arial"/>
          <w:color w:val="000000"/>
          <w:lang w:val="es-ES_tradnl"/>
        </w:rPr>
        <w:t>Corresponderá a la Subsala Penal de Instrucción de la Corte Suprema de Justicia investigar y acusar ante la Subsala de Primera Instancia de la misma corporación a los miembros del Congreso por los delitos cometidos.</w:t>
      </w:r>
    </w:p>
    <w:p w:rsidR="00B879F5" w:rsidRPr="00B879F5" w:rsidRDefault="00B879F5" w:rsidP="00B879F5">
      <w:pPr>
        <w:adjustRightInd w:val="0"/>
        <w:spacing w:before="57" w:after="57" w:line="288" w:lineRule="auto"/>
        <w:ind w:firstLine="283"/>
        <w:jc w:val="both"/>
        <w:textAlignment w:val="center"/>
        <w:rPr>
          <w:rFonts w:ascii="Arial" w:eastAsia="Times New Roman" w:hAnsi="Arial" w:cs="Arial"/>
        </w:rPr>
      </w:pPr>
      <w:r w:rsidRPr="00B879F5">
        <w:rPr>
          <w:rFonts w:ascii="Arial" w:hAnsi="Arial" w:cs="Arial"/>
          <w:color w:val="000000"/>
          <w:lang w:val="es-ES_tradnl"/>
        </w:rPr>
        <w:t>Contra las sentencias que profiera la Subsala de Primera Instancia de la Sala Penal de la Corte Suprema de Justicia procederá el recurso de apelación. Su conocimiento corresponderá a la Sala Penal de la Corte Suprema de Justicia.</w:t>
      </w:r>
    </w:p>
    <w:p w:rsidR="00B879F5" w:rsidRPr="00B879F5" w:rsidRDefault="00B879F5" w:rsidP="00B879F5">
      <w:pPr>
        <w:adjustRightInd w:val="0"/>
        <w:spacing w:before="57" w:after="57" w:line="288" w:lineRule="auto"/>
        <w:ind w:firstLine="283"/>
        <w:jc w:val="both"/>
        <w:textAlignment w:val="center"/>
        <w:rPr>
          <w:rFonts w:ascii="Arial" w:eastAsia="Times New Roman" w:hAnsi="Arial" w:cs="Arial"/>
        </w:rPr>
      </w:pPr>
      <w:r w:rsidRPr="00B879F5">
        <w:rPr>
          <w:rFonts w:ascii="Arial" w:hAnsi="Arial" w:cs="Arial"/>
          <w:color w:val="000000"/>
          <w:lang w:val="es-ES_tradnl"/>
        </w:rPr>
        <w:t>La primera condena podrá ser impugnada.</w:t>
      </w:r>
    </w:p>
    <w:p w:rsidR="00B879F5" w:rsidRPr="00B879F5" w:rsidRDefault="00B879F5" w:rsidP="00B879F5">
      <w:pPr>
        <w:spacing w:before="57" w:after="57" w:line="288" w:lineRule="auto"/>
        <w:ind w:firstLine="283"/>
        <w:jc w:val="both"/>
        <w:textAlignment w:val="center"/>
        <w:rPr>
          <w:rFonts w:ascii="Arial" w:hAnsi="Arial" w:cs="Arial"/>
          <w:color w:val="000000"/>
          <w:lang w:val="es-ES_tradnl"/>
        </w:rPr>
      </w:pPr>
    </w:p>
    <w:p w:rsidR="00B879F5" w:rsidRPr="00B879F5" w:rsidRDefault="00B879F5" w:rsidP="00B879F5">
      <w:pPr>
        <w:spacing w:before="57" w:after="57" w:line="288" w:lineRule="auto"/>
        <w:ind w:firstLine="283"/>
        <w:jc w:val="both"/>
        <w:textAlignment w:val="center"/>
        <w:rPr>
          <w:rFonts w:ascii="Arial" w:eastAsia="Times New Roman" w:hAnsi="Arial" w:cs="Arial"/>
        </w:rPr>
      </w:pPr>
      <w:r w:rsidRPr="00B879F5">
        <w:rPr>
          <w:rFonts w:ascii="Arial" w:hAnsi="Arial" w:cs="Arial"/>
          <w:b/>
          <w:color w:val="000000"/>
          <w:lang w:val="es-ES_tradnl"/>
        </w:rPr>
        <w:t>Artículo 2</w:t>
      </w:r>
      <w:r w:rsidRPr="00B879F5">
        <w:rPr>
          <w:rFonts w:ascii="Arial" w:hAnsi="Arial" w:cs="Arial"/>
          <w:color w:val="000000"/>
          <w:lang w:val="es-ES_tradnl"/>
        </w:rPr>
        <w:t>. Adicionar el artículo 234 de la Constitución Política, el cual quedará así:</w:t>
      </w:r>
    </w:p>
    <w:p w:rsidR="00B879F5" w:rsidRPr="00B879F5" w:rsidRDefault="00B879F5" w:rsidP="00B879F5">
      <w:pPr>
        <w:adjustRightInd w:val="0"/>
        <w:spacing w:before="57" w:after="57" w:line="288" w:lineRule="auto"/>
        <w:ind w:firstLine="283"/>
        <w:jc w:val="both"/>
        <w:textAlignment w:val="center"/>
        <w:rPr>
          <w:rFonts w:ascii="Arial" w:eastAsia="Times New Roman" w:hAnsi="Arial" w:cs="Arial"/>
        </w:rPr>
      </w:pPr>
      <w:r w:rsidRPr="00B879F5">
        <w:rPr>
          <w:rFonts w:ascii="Arial" w:hAnsi="Arial" w:cs="Arial"/>
          <w:b/>
          <w:bCs/>
          <w:color w:val="000000"/>
          <w:lang w:val="es-ES_tradnl"/>
        </w:rPr>
        <w:t>Artículo 234.</w:t>
      </w:r>
      <w:r w:rsidRPr="00B879F5">
        <w:rPr>
          <w:rFonts w:ascii="Arial" w:hAnsi="Arial" w:cs="Arial"/>
          <w:color w:val="000000"/>
          <w:lang w:val="es-ES_tradnl"/>
        </w:rPr>
        <w:t xml:space="preserve"> La Corte Suprema de Justicia es el máximo Tribunal de la Jurisdicción Ordinaria y se compondrá del número impar de magistrados que determine la ley. Esta dividirá la Corte en Salas y Subsalas, señalará a cada una de </w:t>
      </w:r>
      <w:r w:rsidRPr="00B879F5">
        <w:rPr>
          <w:rFonts w:ascii="Arial" w:hAnsi="Arial" w:cs="Arial"/>
          <w:color w:val="000000"/>
          <w:lang w:val="es-ES_tradnl"/>
        </w:rPr>
        <w:lastRenderedPageBreak/>
        <w:t>ellas los asuntos que deba conocer separadamente y determinará aquellos en que deba intervenir la Corte en pleno.</w:t>
      </w:r>
    </w:p>
    <w:p w:rsidR="00B879F5" w:rsidRPr="00B879F5" w:rsidRDefault="00B879F5" w:rsidP="00B879F5">
      <w:pPr>
        <w:adjustRightInd w:val="0"/>
        <w:spacing w:before="57" w:after="57" w:line="288" w:lineRule="auto"/>
        <w:ind w:firstLine="283"/>
        <w:jc w:val="both"/>
        <w:textAlignment w:val="center"/>
        <w:rPr>
          <w:rFonts w:ascii="Arial" w:eastAsia="Times New Roman" w:hAnsi="Arial" w:cs="Arial"/>
        </w:rPr>
      </w:pPr>
      <w:r w:rsidRPr="00B879F5">
        <w:rPr>
          <w:rFonts w:ascii="Arial" w:hAnsi="Arial" w:cs="Arial"/>
          <w:color w:val="000000"/>
          <w:lang w:val="es-ES_tradnl"/>
        </w:rPr>
        <w:t>La Sala Penal de la Corte Suprema de Justicia estará conformada por subsalas que garanticen en el caso de los aforados constitucionales la separación de la instrucción y el juzgamiento, la doble instancia de la sentencia y el derecho a la impugnación de la primera condena.</w:t>
      </w:r>
    </w:p>
    <w:p w:rsidR="00B879F5" w:rsidRPr="00B879F5" w:rsidRDefault="00B879F5" w:rsidP="00B879F5">
      <w:pPr>
        <w:adjustRightInd w:val="0"/>
        <w:spacing w:before="57" w:after="57" w:line="288" w:lineRule="auto"/>
        <w:ind w:firstLine="283"/>
        <w:jc w:val="both"/>
        <w:textAlignment w:val="center"/>
        <w:rPr>
          <w:rFonts w:ascii="Arial" w:eastAsia="Times New Roman" w:hAnsi="Arial" w:cs="Arial"/>
        </w:rPr>
      </w:pPr>
      <w:r w:rsidRPr="00B879F5">
        <w:rPr>
          <w:rFonts w:ascii="Arial" w:hAnsi="Arial" w:cs="Arial"/>
          <w:color w:val="000000"/>
          <w:lang w:val="es-ES_tradnl"/>
        </w:rPr>
        <w:t>La Subsala de Instrucción estará conformada por tres magistrados y la subsala de primera instancia por seis magistrados.</w:t>
      </w:r>
    </w:p>
    <w:p w:rsidR="00B879F5" w:rsidRPr="00B879F5" w:rsidRDefault="00B879F5" w:rsidP="00B879F5">
      <w:pPr>
        <w:adjustRightInd w:val="0"/>
        <w:spacing w:before="57" w:after="57" w:line="288" w:lineRule="auto"/>
        <w:ind w:firstLine="283"/>
        <w:jc w:val="both"/>
        <w:textAlignment w:val="center"/>
        <w:rPr>
          <w:rFonts w:ascii="Arial" w:eastAsia="Times New Roman" w:hAnsi="Arial" w:cs="Arial"/>
        </w:rPr>
      </w:pPr>
      <w:r w:rsidRPr="00B879F5">
        <w:rPr>
          <w:rFonts w:ascii="Arial" w:hAnsi="Arial" w:cs="Arial"/>
          <w:color w:val="000000"/>
          <w:lang w:val="es-ES_tradnl"/>
        </w:rPr>
        <w:t>Los miembros de estas subsalas deberán cumplir los mismos requisitos para ser magistrados de la Corte Suprema de Justicia, el régimen aplicable para su elección será el establecido para los magistrados de la Corte Suprema de Justicia para períodos individuales de ocho años.</w:t>
      </w:r>
    </w:p>
    <w:p w:rsidR="00B879F5" w:rsidRPr="00B879F5" w:rsidRDefault="00B879F5" w:rsidP="00B879F5">
      <w:pPr>
        <w:adjustRightInd w:val="0"/>
        <w:spacing w:before="57" w:after="100" w:afterAutospacing="1" w:line="288" w:lineRule="auto"/>
        <w:ind w:firstLine="283"/>
        <w:jc w:val="both"/>
        <w:textAlignment w:val="center"/>
        <w:rPr>
          <w:rFonts w:ascii="Arial" w:eastAsia="Times New Roman" w:hAnsi="Arial" w:cs="Arial"/>
        </w:rPr>
      </w:pPr>
      <w:r w:rsidRPr="00B879F5">
        <w:rPr>
          <w:rFonts w:ascii="Arial" w:hAnsi="Arial" w:cs="Arial"/>
          <w:color w:val="000000"/>
          <w:lang w:val="es-ES_tradnl"/>
        </w:rPr>
        <w:t>Los magistrados de las subsalas solo tendrán competencia para conocer de manera exclusiva de los asuntos de instrucción y juzgamiento en primera instancia en las condiciones que lo establezca la ley.</w:t>
      </w:r>
    </w:p>
    <w:p w:rsidR="00B879F5" w:rsidRPr="00B879F5" w:rsidRDefault="00B879F5" w:rsidP="00B879F5">
      <w:pPr>
        <w:adjustRightInd w:val="0"/>
        <w:spacing w:before="57" w:after="57" w:line="288" w:lineRule="auto"/>
        <w:ind w:firstLine="283"/>
        <w:jc w:val="both"/>
        <w:textAlignment w:val="center"/>
        <w:rPr>
          <w:rFonts w:ascii="Arial" w:eastAsia="Times New Roman" w:hAnsi="Arial" w:cs="Arial"/>
        </w:rPr>
      </w:pPr>
      <w:r w:rsidRPr="00B879F5">
        <w:rPr>
          <w:rFonts w:ascii="Arial" w:hAnsi="Arial" w:cs="Arial"/>
          <w:color w:val="000000"/>
          <w:lang w:val="es-ES_tradnl"/>
        </w:rPr>
        <w:t>El reglamento de la Corte Suprema de Justicia no podrá asignar a las subsalas el conocimiento y la decisión de los asuntos que correspondan a la Sala Penal.</w:t>
      </w:r>
    </w:p>
    <w:p w:rsidR="00B879F5" w:rsidRPr="00B879F5" w:rsidRDefault="00B879F5" w:rsidP="00B879F5">
      <w:pPr>
        <w:adjustRightInd w:val="0"/>
        <w:spacing w:before="57" w:after="57" w:line="288" w:lineRule="auto"/>
        <w:ind w:firstLine="283"/>
        <w:jc w:val="both"/>
        <w:textAlignment w:val="center"/>
        <w:rPr>
          <w:rFonts w:ascii="Arial" w:eastAsia="Times New Roman" w:hAnsi="Arial" w:cs="Arial"/>
        </w:rPr>
      </w:pPr>
      <w:r w:rsidRPr="00B879F5">
        <w:rPr>
          <w:rFonts w:ascii="Arial" w:hAnsi="Arial" w:cs="Arial"/>
          <w:color w:val="000000"/>
          <w:lang w:val="es-ES_tradnl"/>
        </w:rPr>
        <w:t>Los magistrados de las subsalas no podrán conocer de asuntos administrativos, ni electorales de la Corte Suprema de Justicia ni harán parte de la Sala Plena.</w:t>
      </w:r>
    </w:p>
    <w:p w:rsidR="00B879F5" w:rsidRPr="00B879F5" w:rsidRDefault="00B879F5" w:rsidP="00B879F5">
      <w:pPr>
        <w:adjustRightInd w:val="0"/>
        <w:spacing w:before="57" w:after="57" w:line="288" w:lineRule="auto"/>
        <w:ind w:firstLine="283"/>
        <w:jc w:val="both"/>
        <w:textAlignment w:val="center"/>
        <w:rPr>
          <w:rFonts w:ascii="Arial" w:eastAsia="Times New Roman" w:hAnsi="Arial" w:cs="Arial"/>
        </w:rPr>
      </w:pPr>
      <w:r w:rsidRPr="00B879F5">
        <w:rPr>
          <w:rFonts w:ascii="Arial" w:hAnsi="Arial" w:cs="Arial"/>
          <w:b/>
          <w:bCs/>
          <w:color w:val="000000"/>
          <w:lang w:val="es-ES_tradnl"/>
        </w:rPr>
        <w:t>Parágrafo.</w:t>
      </w:r>
      <w:r w:rsidRPr="00B879F5">
        <w:rPr>
          <w:rFonts w:ascii="Arial" w:hAnsi="Arial" w:cs="Arial"/>
          <w:color w:val="000000"/>
          <w:lang w:val="es-ES_tradnl"/>
        </w:rPr>
        <w:t xml:space="preserve"> Los aforados constitucionales del artículo 174 de la Constitución Política tienen derecho de impugnación y doble instancia conforme lo señale la ley.</w:t>
      </w:r>
    </w:p>
    <w:p w:rsidR="00B879F5" w:rsidRPr="00B879F5" w:rsidRDefault="00B879F5" w:rsidP="00B879F5">
      <w:pPr>
        <w:adjustRightInd w:val="0"/>
        <w:spacing w:before="57" w:after="57" w:line="288" w:lineRule="auto"/>
        <w:ind w:firstLine="283"/>
        <w:jc w:val="both"/>
        <w:textAlignment w:val="center"/>
        <w:rPr>
          <w:rFonts w:ascii="Arial" w:hAnsi="Arial" w:cs="Arial"/>
          <w:color w:val="000000"/>
          <w:lang w:val="es-ES_tradnl"/>
        </w:rPr>
      </w:pPr>
    </w:p>
    <w:p w:rsidR="00B879F5" w:rsidRPr="00B879F5" w:rsidRDefault="00B879F5" w:rsidP="00B879F5">
      <w:pPr>
        <w:adjustRightInd w:val="0"/>
        <w:spacing w:before="57" w:after="57" w:line="288" w:lineRule="auto"/>
        <w:ind w:firstLine="283"/>
        <w:jc w:val="both"/>
        <w:textAlignment w:val="center"/>
        <w:rPr>
          <w:rFonts w:ascii="Arial" w:eastAsia="Times New Roman" w:hAnsi="Arial" w:cs="Arial"/>
        </w:rPr>
      </w:pPr>
      <w:r w:rsidRPr="00B879F5">
        <w:rPr>
          <w:rFonts w:ascii="Arial" w:hAnsi="Arial" w:cs="Arial"/>
          <w:b/>
          <w:color w:val="000000"/>
          <w:lang w:val="es-ES_tradnl"/>
        </w:rPr>
        <w:t>Artículo 3</w:t>
      </w:r>
      <w:r w:rsidRPr="00B879F5">
        <w:rPr>
          <w:rFonts w:ascii="Arial" w:hAnsi="Arial" w:cs="Arial"/>
          <w:color w:val="000000"/>
          <w:lang w:val="es-ES_tradnl"/>
        </w:rPr>
        <w:t>. Modificar el artículo 235 de la Constitución Política el cual quedará así:</w:t>
      </w:r>
    </w:p>
    <w:p w:rsidR="00B879F5" w:rsidRPr="00B879F5" w:rsidRDefault="00B879F5" w:rsidP="00B879F5">
      <w:pPr>
        <w:adjustRightInd w:val="0"/>
        <w:spacing w:before="57" w:after="57" w:line="288" w:lineRule="auto"/>
        <w:ind w:firstLine="283"/>
        <w:jc w:val="both"/>
        <w:textAlignment w:val="center"/>
        <w:rPr>
          <w:rFonts w:ascii="Arial" w:eastAsia="Times New Roman" w:hAnsi="Arial" w:cs="Arial"/>
        </w:rPr>
      </w:pPr>
      <w:r w:rsidRPr="00B879F5">
        <w:rPr>
          <w:rFonts w:ascii="Arial" w:hAnsi="Arial" w:cs="Arial"/>
          <w:b/>
          <w:bCs/>
          <w:color w:val="000000"/>
          <w:lang w:val="es-ES_tradnl"/>
        </w:rPr>
        <w:t>Artículo 235.</w:t>
      </w:r>
      <w:r w:rsidRPr="00B879F5">
        <w:rPr>
          <w:rFonts w:ascii="Arial" w:hAnsi="Arial" w:cs="Arial"/>
          <w:color w:val="000000"/>
          <w:lang w:val="es-ES_tradnl"/>
        </w:rPr>
        <w:t xml:space="preserve"> Son atribuciones de la Corte Suprema de Justicia:</w:t>
      </w:r>
    </w:p>
    <w:p w:rsidR="00B879F5" w:rsidRPr="00B879F5" w:rsidRDefault="00B879F5" w:rsidP="00B879F5">
      <w:pPr>
        <w:adjustRightInd w:val="0"/>
        <w:spacing w:before="57" w:after="57" w:line="288" w:lineRule="auto"/>
        <w:ind w:firstLine="283"/>
        <w:jc w:val="both"/>
        <w:textAlignment w:val="center"/>
        <w:rPr>
          <w:rFonts w:ascii="Arial" w:eastAsia="Times New Roman" w:hAnsi="Arial" w:cs="Arial"/>
        </w:rPr>
      </w:pPr>
      <w:r w:rsidRPr="00B879F5">
        <w:rPr>
          <w:rFonts w:ascii="Arial" w:hAnsi="Arial" w:cs="Arial"/>
          <w:color w:val="000000"/>
          <w:lang w:val="es-ES_tradnl"/>
        </w:rPr>
        <w:t>1. Actuar como tribunal de casación.</w:t>
      </w:r>
    </w:p>
    <w:p w:rsidR="00B879F5" w:rsidRPr="00B879F5" w:rsidRDefault="00B879F5" w:rsidP="00B879F5">
      <w:pPr>
        <w:adjustRightInd w:val="0"/>
        <w:spacing w:before="57" w:after="57" w:line="288" w:lineRule="auto"/>
        <w:ind w:firstLine="283"/>
        <w:jc w:val="both"/>
        <w:textAlignment w:val="center"/>
        <w:rPr>
          <w:rFonts w:ascii="Arial" w:eastAsia="Times New Roman" w:hAnsi="Arial" w:cs="Arial"/>
        </w:rPr>
      </w:pPr>
      <w:r w:rsidRPr="00B879F5">
        <w:rPr>
          <w:rFonts w:ascii="Arial" w:hAnsi="Arial" w:cs="Arial"/>
          <w:color w:val="000000"/>
          <w:lang w:val="es-ES_tradnl"/>
        </w:rPr>
        <w:t>2. Conocer del derecho de impugnación y del recurso de apelación en materia penal, conforme lo determine la ley.</w:t>
      </w:r>
    </w:p>
    <w:p w:rsidR="00B879F5" w:rsidRPr="00B879F5" w:rsidRDefault="00B879F5" w:rsidP="00B879F5">
      <w:pPr>
        <w:adjustRightInd w:val="0"/>
        <w:spacing w:before="57" w:after="57" w:line="288" w:lineRule="auto"/>
        <w:ind w:firstLine="283"/>
        <w:jc w:val="both"/>
        <w:textAlignment w:val="center"/>
        <w:rPr>
          <w:rFonts w:ascii="Arial" w:eastAsia="Times New Roman" w:hAnsi="Arial" w:cs="Arial"/>
        </w:rPr>
      </w:pPr>
      <w:r w:rsidRPr="00B879F5">
        <w:rPr>
          <w:rFonts w:ascii="Arial" w:hAnsi="Arial" w:cs="Arial"/>
          <w:color w:val="000000"/>
          <w:lang w:val="es-ES_tradnl"/>
        </w:rPr>
        <w:t xml:space="preserve">3. Juzgar al Presidente de la República o a quien haga sus veces y a los altos funcionarios de que trata el artículo 174, previo el procedimiento establecido en el artículo 175 de la Constitución Política, por cualquier conducta punible que se les impute. Para estos juicios la Sala Penal de la Corte Suprema de Justicia estará </w:t>
      </w:r>
      <w:r w:rsidRPr="00B879F5">
        <w:rPr>
          <w:rFonts w:ascii="Arial" w:hAnsi="Arial" w:cs="Arial"/>
          <w:color w:val="000000"/>
          <w:lang w:val="es-ES_tradnl"/>
        </w:rPr>
        <w:lastRenderedPageBreak/>
        <w:t>conformada por subsalas que garanticen el derecho de impugnación y la doble instancia.</w:t>
      </w:r>
    </w:p>
    <w:p w:rsidR="00B879F5" w:rsidRPr="00B879F5" w:rsidRDefault="00B879F5" w:rsidP="00B879F5">
      <w:pPr>
        <w:adjustRightInd w:val="0"/>
        <w:spacing w:before="57" w:after="57" w:line="288" w:lineRule="auto"/>
        <w:ind w:firstLine="283"/>
        <w:jc w:val="both"/>
        <w:textAlignment w:val="center"/>
        <w:rPr>
          <w:rFonts w:ascii="Arial" w:eastAsia="Times New Roman" w:hAnsi="Arial" w:cs="Arial"/>
        </w:rPr>
      </w:pPr>
      <w:r w:rsidRPr="00B879F5">
        <w:rPr>
          <w:rFonts w:ascii="Arial" w:hAnsi="Arial" w:cs="Arial"/>
          <w:color w:val="000000"/>
          <w:spacing w:val="5"/>
          <w:lang w:val="es-ES_tradnl"/>
        </w:rPr>
        <w:t>4. Investigar y juzgar a los miembros del Congreso.</w:t>
      </w:r>
    </w:p>
    <w:p w:rsidR="00B879F5" w:rsidRPr="00B879F5" w:rsidRDefault="00B879F5" w:rsidP="00B879F5">
      <w:pPr>
        <w:adjustRightInd w:val="0"/>
        <w:spacing w:before="57" w:after="57" w:line="288" w:lineRule="auto"/>
        <w:ind w:firstLine="283"/>
        <w:jc w:val="both"/>
        <w:textAlignment w:val="center"/>
        <w:rPr>
          <w:rFonts w:ascii="Arial" w:eastAsia="Times New Roman" w:hAnsi="Arial" w:cs="Arial"/>
        </w:rPr>
      </w:pPr>
      <w:r w:rsidRPr="00B879F5">
        <w:rPr>
          <w:rFonts w:ascii="Arial" w:hAnsi="Arial" w:cs="Arial"/>
          <w:color w:val="000000"/>
          <w:lang w:val="es-ES_tradnl"/>
        </w:rPr>
        <w:t>5. Juzgar, a través de la Subsala de Primera Instancia, previa acusación del Fiscal General de la Nación, del Vicefiscal General de la Nación o de sus delegados de la unidad de fiscalías ante la Corte Suprema de Justicia, al Vicepresidente de la República, a los Ministros del Despacho, al Procurador General, al Defensor del Pueblo, a los Agentes del Ministerio Público ante la Corte, ante el Consejo de Estado y ante los Tribunales; a los delegados del Fiscal General de la Nación ante la Corte y ante los Tribunales, Directores de los Departamentos Administrativos, al Contralor General de la República, a los Embajadores y jefe de misión diplomática o consular, a los Gobernadores, a los Magistrados de Tribunales y a los Generales y Almirantes de la Fuerza Pública, por los hechos punibles que se les imputen.</w:t>
      </w:r>
    </w:p>
    <w:p w:rsidR="00B879F5" w:rsidRPr="00B879F5" w:rsidRDefault="00B879F5" w:rsidP="00B879F5">
      <w:pPr>
        <w:adjustRightInd w:val="0"/>
        <w:spacing w:before="57" w:after="100" w:afterAutospacing="1" w:line="288" w:lineRule="auto"/>
        <w:ind w:firstLine="283"/>
        <w:jc w:val="both"/>
        <w:textAlignment w:val="center"/>
        <w:rPr>
          <w:rFonts w:ascii="Arial" w:eastAsia="Times New Roman" w:hAnsi="Arial" w:cs="Arial"/>
        </w:rPr>
      </w:pPr>
      <w:r w:rsidRPr="00B879F5">
        <w:rPr>
          <w:rFonts w:ascii="Arial" w:hAnsi="Arial" w:cs="Arial"/>
          <w:color w:val="000000"/>
          <w:lang w:val="es-ES_tradnl"/>
        </w:rPr>
        <w:t>6. Resolver los recursos de apelación que se interpongan contra las decisiones proferidas por la subsala de Primera Instancia de la Sala Penal de la Corte Suprema de Justicia en los procesos penales de los aforados constitucionales.</w:t>
      </w:r>
    </w:p>
    <w:p w:rsidR="00B879F5" w:rsidRPr="00B879F5" w:rsidRDefault="00B879F5" w:rsidP="00B879F5">
      <w:pPr>
        <w:adjustRightInd w:val="0"/>
        <w:spacing w:before="57" w:after="57" w:line="288" w:lineRule="auto"/>
        <w:ind w:firstLine="283"/>
        <w:jc w:val="both"/>
        <w:textAlignment w:val="center"/>
        <w:rPr>
          <w:rFonts w:ascii="Arial" w:eastAsia="Times New Roman" w:hAnsi="Arial" w:cs="Arial"/>
        </w:rPr>
      </w:pPr>
      <w:r w:rsidRPr="00B879F5">
        <w:rPr>
          <w:rFonts w:ascii="Arial" w:hAnsi="Arial" w:cs="Arial"/>
          <w:color w:val="000000"/>
          <w:lang w:val="es-ES_tradnl"/>
        </w:rPr>
        <w:t>7. Resolver la impugnación o la solicitud de doble conformidad judicial de la primera condena contra la sentencia proferida por la Subsala de Primera Instancia o la Sala Penal de la Corte Suprema de Justicia en los asuntos a que se refieren los numerales 3, 4, 5 y 6 del presente artículo.</w:t>
      </w:r>
    </w:p>
    <w:p w:rsidR="00B879F5" w:rsidRPr="00B879F5" w:rsidRDefault="00B879F5" w:rsidP="00B879F5">
      <w:pPr>
        <w:adjustRightInd w:val="0"/>
        <w:spacing w:before="57" w:after="57" w:line="288" w:lineRule="auto"/>
        <w:ind w:firstLine="283"/>
        <w:jc w:val="both"/>
        <w:textAlignment w:val="center"/>
        <w:rPr>
          <w:rFonts w:ascii="Arial" w:eastAsia="Times New Roman" w:hAnsi="Arial" w:cs="Arial"/>
        </w:rPr>
      </w:pPr>
      <w:r w:rsidRPr="00B879F5">
        <w:rPr>
          <w:rFonts w:ascii="Arial" w:hAnsi="Arial" w:cs="Arial"/>
          <w:color w:val="000000"/>
          <w:lang w:val="es-ES_tradnl"/>
        </w:rPr>
        <w:t>8. Conocer de todos los negocios contenciosos de los agentes diplomáticos acreditados ante el Gobierno de la nación, en los casos previstos por el Derecho Internacional.</w:t>
      </w:r>
    </w:p>
    <w:p w:rsidR="00B879F5" w:rsidRPr="00B879F5" w:rsidRDefault="00B879F5" w:rsidP="00B879F5">
      <w:pPr>
        <w:adjustRightInd w:val="0"/>
        <w:spacing w:before="57" w:after="57" w:line="288" w:lineRule="auto"/>
        <w:ind w:firstLine="283"/>
        <w:jc w:val="both"/>
        <w:textAlignment w:val="center"/>
        <w:rPr>
          <w:rFonts w:ascii="Arial" w:eastAsia="Times New Roman" w:hAnsi="Arial" w:cs="Arial"/>
        </w:rPr>
      </w:pPr>
      <w:r w:rsidRPr="00B879F5">
        <w:rPr>
          <w:rFonts w:ascii="Arial" w:hAnsi="Arial" w:cs="Arial"/>
          <w:color w:val="000000"/>
          <w:lang w:val="es-ES_tradnl"/>
        </w:rPr>
        <w:t>9. Darse su propio reglamento.</w:t>
      </w:r>
    </w:p>
    <w:p w:rsidR="00B879F5" w:rsidRDefault="00B879F5" w:rsidP="00B879F5">
      <w:pPr>
        <w:adjustRightInd w:val="0"/>
        <w:spacing w:before="57" w:after="57" w:line="288" w:lineRule="auto"/>
        <w:ind w:firstLine="283"/>
        <w:jc w:val="both"/>
        <w:textAlignment w:val="center"/>
        <w:rPr>
          <w:rFonts w:ascii="Arial" w:hAnsi="Arial" w:cs="Arial"/>
          <w:color w:val="000000"/>
          <w:lang w:val="es-ES_tradnl"/>
        </w:rPr>
      </w:pPr>
      <w:r w:rsidRPr="00B879F5">
        <w:rPr>
          <w:rFonts w:ascii="Arial" w:hAnsi="Arial" w:cs="Arial"/>
          <w:color w:val="000000"/>
          <w:lang w:val="es-ES_tradnl"/>
        </w:rPr>
        <w:t>10. Las demás atribuciones que señale la ley.</w:t>
      </w:r>
    </w:p>
    <w:p w:rsidR="00E02895" w:rsidRPr="00B879F5" w:rsidRDefault="00E02895" w:rsidP="00B879F5">
      <w:pPr>
        <w:adjustRightInd w:val="0"/>
        <w:spacing w:before="57" w:after="57" w:line="288" w:lineRule="auto"/>
        <w:ind w:firstLine="283"/>
        <w:jc w:val="both"/>
        <w:textAlignment w:val="center"/>
        <w:rPr>
          <w:rFonts w:ascii="Arial" w:eastAsia="Times New Roman" w:hAnsi="Arial" w:cs="Arial"/>
        </w:rPr>
      </w:pPr>
    </w:p>
    <w:p w:rsidR="00B879F5" w:rsidRPr="00B879F5" w:rsidRDefault="00B879F5" w:rsidP="00B879F5">
      <w:pPr>
        <w:adjustRightInd w:val="0"/>
        <w:spacing w:before="57" w:after="57" w:line="288" w:lineRule="auto"/>
        <w:ind w:firstLine="283"/>
        <w:jc w:val="both"/>
        <w:textAlignment w:val="center"/>
        <w:rPr>
          <w:rFonts w:ascii="Arial" w:eastAsia="Times New Roman" w:hAnsi="Arial" w:cs="Arial"/>
        </w:rPr>
      </w:pPr>
      <w:r w:rsidRPr="00B879F5">
        <w:rPr>
          <w:rFonts w:ascii="Arial" w:hAnsi="Arial" w:cs="Arial"/>
          <w:b/>
          <w:bCs/>
          <w:color w:val="000000"/>
          <w:lang w:val="es-ES_tradnl"/>
        </w:rPr>
        <w:t>Parágrafo.</w:t>
      </w:r>
      <w:r w:rsidRPr="00B879F5">
        <w:rPr>
          <w:rFonts w:ascii="Arial" w:hAnsi="Arial" w:cs="Arial"/>
          <w:color w:val="000000"/>
          <w:lang w:val="es-ES_tradnl"/>
        </w:rPr>
        <w:t xml:space="preserve"> Cuando los funcionarios antes enunciados hubieren cesado en el ejercicio de su cargo, el fuero solo se mantendrá para las conductas punibles que tengan relación con las funciones desempeñadas.</w:t>
      </w:r>
    </w:p>
    <w:p w:rsidR="00B879F5" w:rsidRPr="00B879F5" w:rsidRDefault="00B879F5" w:rsidP="00B879F5">
      <w:pPr>
        <w:adjustRightInd w:val="0"/>
        <w:spacing w:before="57" w:after="57" w:line="288" w:lineRule="auto"/>
        <w:ind w:firstLine="283"/>
        <w:jc w:val="both"/>
        <w:textAlignment w:val="center"/>
        <w:rPr>
          <w:rFonts w:ascii="Arial" w:hAnsi="Arial" w:cs="Arial"/>
          <w:color w:val="000000"/>
          <w:lang w:val="es-ES_tradnl"/>
        </w:rPr>
      </w:pPr>
    </w:p>
    <w:p w:rsidR="00B879F5" w:rsidRPr="00B879F5" w:rsidRDefault="00B879F5" w:rsidP="00B879F5">
      <w:pPr>
        <w:adjustRightInd w:val="0"/>
        <w:spacing w:before="57" w:after="57" w:line="288" w:lineRule="auto"/>
        <w:ind w:firstLine="283"/>
        <w:jc w:val="both"/>
        <w:textAlignment w:val="center"/>
        <w:rPr>
          <w:rFonts w:ascii="Arial" w:eastAsia="Times New Roman" w:hAnsi="Arial" w:cs="Arial"/>
        </w:rPr>
      </w:pPr>
      <w:r w:rsidRPr="00B879F5">
        <w:rPr>
          <w:rFonts w:ascii="Arial" w:hAnsi="Arial" w:cs="Arial"/>
          <w:b/>
          <w:color w:val="000000"/>
          <w:lang w:val="es-ES_tradnl"/>
        </w:rPr>
        <w:t>Artículo 4</w:t>
      </w:r>
      <w:r w:rsidRPr="00B879F5">
        <w:rPr>
          <w:rFonts w:ascii="Arial" w:hAnsi="Arial" w:cs="Arial"/>
          <w:color w:val="000000"/>
          <w:lang w:val="es-ES_tradnl"/>
        </w:rPr>
        <w:t>. El presente acto legislativo rige a partir de la fecha de su promulgación y deroga todas las disposiciones que le sean contrarias.”</w:t>
      </w:r>
    </w:p>
    <w:p w:rsidR="00011365" w:rsidRPr="00B879F5" w:rsidRDefault="00011365" w:rsidP="00011365">
      <w:pPr>
        <w:tabs>
          <w:tab w:val="left" w:pos="3540"/>
          <w:tab w:val="left" w:pos="4248"/>
          <w:tab w:val="left" w:pos="4956"/>
          <w:tab w:val="left" w:pos="5664"/>
          <w:tab w:val="left" w:pos="6372"/>
          <w:tab w:val="left" w:pos="7080"/>
          <w:tab w:val="left" w:pos="7788"/>
          <w:tab w:val="right" w:pos="8840"/>
        </w:tabs>
        <w:rPr>
          <w:rFonts w:cs="Arial"/>
          <w:lang w:val="es-ES"/>
        </w:rPr>
      </w:pPr>
    </w:p>
    <w:p w:rsidR="00011365" w:rsidRPr="00B879F5" w:rsidRDefault="00011365" w:rsidP="00011365">
      <w:pPr>
        <w:pStyle w:val="Sinespaciado"/>
        <w:jc w:val="both"/>
        <w:rPr>
          <w:rFonts w:ascii="Arial" w:hAnsi="Arial" w:cs="Arial"/>
          <w:sz w:val="24"/>
          <w:szCs w:val="24"/>
        </w:rPr>
      </w:pPr>
      <w:r w:rsidRPr="00B879F5">
        <w:rPr>
          <w:rFonts w:ascii="Arial" w:hAnsi="Arial" w:cs="Arial"/>
          <w:sz w:val="24"/>
          <w:szCs w:val="24"/>
        </w:rPr>
        <w:lastRenderedPageBreak/>
        <w:t xml:space="preserve">En los anteriores términos fue aprobado </w:t>
      </w:r>
      <w:r w:rsidR="00B879F5">
        <w:rPr>
          <w:rFonts w:ascii="Arial" w:hAnsi="Arial" w:cs="Arial"/>
          <w:sz w:val="24"/>
          <w:szCs w:val="24"/>
        </w:rPr>
        <w:t>si</w:t>
      </w:r>
      <w:r w:rsidRPr="00B879F5">
        <w:rPr>
          <w:rFonts w:ascii="Arial" w:hAnsi="Arial" w:cs="Arial"/>
          <w:sz w:val="24"/>
          <w:szCs w:val="24"/>
        </w:rPr>
        <w:t xml:space="preserve">n modificaciones el presente Proyecto de Acto Legislativo el día </w:t>
      </w:r>
      <w:r w:rsidR="00B879F5">
        <w:rPr>
          <w:rFonts w:ascii="Arial" w:hAnsi="Arial" w:cs="Arial"/>
          <w:sz w:val="24"/>
          <w:szCs w:val="24"/>
        </w:rPr>
        <w:t>31</w:t>
      </w:r>
      <w:r w:rsidRPr="00B879F5">
        <w:rPr>
          <w:rFonts w:ascii="Arial" w:hAnsi="Arial" w:cs="Arial"/>
          <w:sz w:val="24"/>
          <w:szCs w:val="24"/>
        </w:rPr>
        <w:t xml:space="preserve"> de </w:t>
      </w:r>
      <w:r w:rsidR="00B879F5">
        <w:rPr>
          <w:rFonts w:ascii="Arial" w:hAnsi="Arial" w:cs="Arial"/>
          <w:sz w:val="24"/>
          <w:szCs w:val="24"/>
        </w:rPr>
        <w:t xml:space="preserve">mayo </w:t>
      </w:r>
      <w:r w:rsidRPr="00B879F5">
        <w:rPr>
          <w:rFonts w:ascii="Arial" w:hAnsi="Arial" w:cs="Arial"/>
          <w:sz w:val="24"/>
          <w:szCs w:val="24"/>
        </w:rPr>
        <w:t>de 201</w:t>
      </w:r>
      <w:r w:rsidR="00B879F5">
        <w:rPr>
          <w:rFonts w:ascii="Arial" w:hAnsi="Arial" w:cs="Arial"/>
          <w:sz w:val="24"/>
          <w:szCs w:val="24"/>
        </w:rPr>
        <w:t>7</w:t>
      </w:r>
      <w:r w:rsidRPr="00B879F5">
        <w:rPr>
          <w:rFonts w:ascii="Arial" w:hAnsi="Arial" w:cs="Arial"/>
          <w:sz w:val="24"/>
          <w:szCs w:val="24"/>
        </w:rPr>
        <w:t>, según consta en el Acta No. 4</w:t>
      </w:r>
      <w:r w:rsidR="00B879F5">
        <w:rPr>
          <w:rFonts w:ascii="Arial" w:hAnsi="Arial" w:cs="Arial"/>
          <w:sz w:val="24"/>
          <w:szCs w:val="24"/>
        </w:rPr>
        <w:t>3</w:t>
      </w:r>
      <w:r w:rsidRPr="00B879F5">
        <w:rPr>
          <w:rFonts w:ascii="Arial" w:hAnsi="Arial" w:cs="Arial"/>
          <w:sz w:val="24"/>
          <w:szCs w:val="24"/>
        </w:rPr>
        <w:t xml:space="preserve">. Anunciado entre otras fechas el </w:t>
      </w:r>
      <w:r w:rsidR="00B879F5">
        <w:rPr>
          <w:rFonts w:ascii="Arial" w:hAnsi="Arial" w:cs="Arial"/>
          <w:sz w:val="24"/>
          <w:szCs w:val="24"/>
        </w:rPr>
        <w:t>3</w:t>
      </w:r>
      <w:r w:rsidRPr="00B879F5">
        <w:rPr>
          <w:rFonts w:ascii="Arial" w:hAnsi="Arial" w:cs="Arial"/>
          <w:sz w:val="24"/>
          <w:szCs w:val="24"/>
        </w:rPr>
        <w:t xml:space="preserve">0 de </w:t>
      </w:r>
      <w:r w:rsidR="00B879F5">
        <w:rPr>
          <w:rFonts w:ascii="Arial" w:hAnsi="Arial" w:cs="Arial"/>
          <w:sz w:val="24"/>
          <w:szCs w:val="24"/>
        </w:rPr>
        <w:t>mayo de 2017</w:t>
      </w:r>
      <w:r w:rsidRPr="00B879F5">
        <w:rPr>
          <w:rFonts w:ascii="Arial" w:hAnsi="Arial" w:cs="Arial"/>
          <w:sz w:val="24"/>
          <w:szCs w:val="24"/>
        </w:rPr>
        <w:t xml:space="preserve"> según consta en el Acta No. 4</w:t>
      </w:r>
      <w:r w:rsidR="00B879F5">
        <w:rPr>
          <w:rFonts w:ascii="Arial" w:hAnsi="Arial" w:cs="Arial"/>
          <w:sz w:val="24"/>
          <w:szCs w:val="24"/>
        </w:rPr>
        <w:t>2</w:t>
      </w:r>
      <w:r w:rsidRPr="00B879F5">
        <w:rPr>
          <w:rFonts w:ascii="Arial" w:hAnsi="Arial" w:cs="Arial"/>
          <w:sz w:val="24"/>
          <w:szCs w:val="24"/>
        </w:rPr>
        <w:t xml:space="preserve"> de esa misma fecha.  </w:t>
      </w:r>
    </w:p>
    <w:p w:rsidR="00011365" w:rsidRPr="00B879F5" w:rsidRDefault="00011365" w:rsidP="00595FB1">
      <w:pPr>
        <w:jc w:val="both"/>
        <w:textAlignment w:val="center"/>
        <w:rPr>
          <w:rFonts w:ascii="Arial" w:eastAsia="Times New Roman" w:hAnsi="Arial" w:cs="Arial"/>
          <w:b/>
          <w:color w:val="000000"/>
        </w:rPr>
      </w:pPr>
    </w:p>
    <w:p w:rsidR="00703026" w:rsidRPr="00B879F5" w:rsidRDefault="00703026" w:rsidP="00595FB1">
      <w:pPr>
        <w:jc w:val="both"/>
        <w:textAlignment w:val="center"/>
        <w:rPr>
          <w:rFonts w:ascii="Arial" w:eastAsia="Times New Roman" w:hAnsi="Arial" w:cs="Arial"/>
          <w:b/>
          <w:color w:val="000000"/>
        </w:rPr>
      </w:pPr>
    </w:p>
    <w:p w:rsidR="00703026" w:rsidRPr="00B879F5" w:rsidRDefault="00703026" w:rsidP="00595FB1">
      <w:pPr>
        <w:jc w:val="both"/>
        <w:textAlignment w:val="center"/>
        <w:rPr>
          <w:rFonts w:ascii="Arial" w:eastAsia="Times New Roman" w:hAnsi="Arial" w:cs="Arial"/>
          <w:b/>
          <w:color w:val="000000"/>
        </w:rPr>
      </w:pPr>
    </w:p>
    <w:p w:rsidR="007F7ACB" w:rsidRPr="00B879F5" w:rsidRDefault="007F7ACB" w:rsidP="00595FB1">
      <w:pPr>
        <w:jc w:val="both"/>
        <w:textAlignment w:val="center"/>
        <w:rPr>
          <w:rFonts w:ascii="Arial" w:eastAsia="Times New Roman" w:hAnsi="Arial" w:cs="Arial"/>
          <w:b/>
          <w:color w:val="000000"/>
        </w:rPr>
      </w:pPr>
    </w:p>
    <w:p w:rsidR="00CC4CDD" w:rsidRDefault="00CC4CDD" w:rsidP="00595FB1">
      <w:pPr>
        <w:jc w:val="both"/>
        <w:textAlignment w:val="center"/>
        <w:rPr>
          <w:rFonts w:ascii="Arial" w:eastAsia="Times New Roman" w:hAnsi="Arial" w:cs="Arial"/>
          <w:b/>
          <w:color w:val="000000"/>
        </w:rPr>
      </w:pPr>
      <w:r>
        <w:rPr>
          <w:rFonts w:ascii="Arial" w:eastAsia="Times New Roman" w:hAnsi="Arial" w:cs="Arial"/>
          <w:b/>
          <w:color w:val="000000"/>
        </w:rPr>
        <w:t xml:space="preserve">CARLOS ARTURO CORREA MOJICA </w:t>
      </w:r>
      <w:r>
        <w:rPr>
          <w:rFonts w:ascii="Arial" w:eastAsia="Times New Roman" w:hAnsi="Arial" w:cs="Arial"/>
          <w:b/>
          <w:color w:val="000000"/>
        </w:rPr>
        <w:tab/>
        <w:t>TELESFORO PEDRAZA ORTEGA</w:t>
      </w:r>
    </w:p>
    <w:p w:rsidR="007F7ACB" w:rsidRPr="00B879F5" w:rsidRDefault="00CC4CDD" w:rsidP="00595FB1">
      <w:pPr>
        <w:jc w:val="both"/>
        <w:textAlignment w:val="center"/>
        <w:rPr>
          <w:rFonts w:ascii="Arial" w:eastAsia="Times New Roman" w:hAnsi="Arial" w:cs="Arial"/>
          <w:color w:val="000000"/>
        </w:rPr>
      </w:pPr>
      <w:r>
        <w:rPr>
          <w:rFonts w:ascii="Arial" w:eastAsia="Times New Roman" w:hAnsi="Arial" w:cs="Arial"/>
          <w:color w:val="000000"/>
        </w:rPr>
        <w:t>Coordinador Ponente                                         Presidente</w:t>
      </w:r>
    </w:p>
    <w:p w:rsidR="00011365" w:rsidRPr="00B879F5" w:rsidRDefault="00011365" w:rsidP="00595FB1">
      <w:pPr>
        <w:jc w:val="both"/>
        <w:textAlignment w:val="center"/>
        <w:rPr>
          <w:rFonts w:ascii="Arial" w:eastAsia="Times New Roman" w:hAnsi="Arial" w:cs="Arial"/>
          <w:color w:val="000000"/>
        </w:rPr>
      </w:pPr>
    </w:p>
    <w:p w:rsidR="00703026" w:rsidRPr="00B879F5" w:rsidRDefault="00703026" w:rsidP="00595FB1">
      <w:pPr>
        <w:jc w:val="both"/>
        <w:textAlignment w:val="center"/>
        <w:rPr>
          <w:rFonts w:ascii="Arial" w:eastAsia="Times New Roman" w:hAnsi="Arial" w:cs="Arial"/>
          <w:b/>
          <w:color w:val="000000"/>
        </w:rPr>
      </w:pPr>
    </w:p>
    <w:p w:rsidR="00703026" w:rsidRPr="00B879F5" w:rsidRDefault="00703026" w:rsidP="00595FB1">
      <w:pPr>
        <w:jc w:val="both"/>
        <w:textAlignment w:val="center"/>
        <w:rPr>
          <w:rFonts w:ascii="Arial" w:eastAsia="Times New Roman" w:hAnsi="Arial" w:cs="Arial"/>
          <w:b/>
          <w:color w:val="000000"/>
        </w:rPr>
      </w:pPr>
    </w:p>
    <w:p w:rsidR="00703026" w:rsidRPr="00B879F5" w:rsidRDefault="00703026" w:rsidP="00595FB1">
      <w:pPr>
        <w:jc w:val="both"/>
        <w:textAlignment w:val="center"/>
        <w:rPr>
          <w:rFonts w:ascii="Arial" w:eastAsia="Times New Roman" w:hAnsi="Arial" w:cs="Arial"/>
          <w:b/>
          <w:color w:val="000000"/>
        </w:rPr>
      </w:pPr>
    </w:p>
    <w:p w:rsidR="00011365" w:rsidRPr="00B879F5" w:rsidRDefault="00011365" w:rsidP="00703026">
      <w:pPr>
        <w:jc w:val="center"/>
        <w:textAlignment w:val="center"/>
        <w:rPr>
          <w:rFonts w:ascii="Arial" w:eastAsia="Times New Roman" w:hAnsi="Arial" w:cs="Arial"/>
          <w:b/>
          <w:color w:val="000000"/>
        </w:rPr>
      </w:pPr>
      <w:r w:rsidRPr="00B879F5">
        <w:rPr>
          <w:rFonts w:ascii="Arial" w:eastAsia="Times New Roman" w:hAnsi="Arial" w:cs="Arial"/>
          <w:b/>
          <w:color w:val="000000"/>
        </w:rPr>
        <w:t>AMPARO YANETH CALDERON PERDOMO</w:t>
      </w:r>
    </w:p>
    <w:p w:rsidR="00011365" w:rsidRPr="00B879F5" w:rsidRDefault="00011365" w:rsidP="00703026">
      <w:pPr>
        <w:jc w:val="center"/>
        <w:textAlignment w:val="center"/>
        <w:rPr>
          <w:rFonts w:ascii="Arial" w:eastAsia="Times New Roman" w:hAnsi="Arial" w:cs="Arial"/>
          <w:color w:val="000000"/>
        </w:rPr>
      </w:pPr>
      <w:r w:rsidRPr="00B879F5">
        <w:rPr>
          <w:rFonts w:ascii="Arial" w:eastAsia="Times New Roman" w:hAnsi="Arial" w:cs="Arial"/>
          <w:color w:val="000000"/>
        </w:rPr>
        <w:t>Secretaria</w:t>
      </w:r>
    </w:p>
    <w:p w:rsidR="00011365" w:rsidRPr="00B879F5" w:rsidRDefault="00011365" w:rsidP="00703026">
      <w:pPr>
        <w:jc w:val="center"/>
        <w:textAlignment w:val="center"/>
        <w:rPr>
          <w:rFonts w:ascii="Arial" w:eastAsia="Times New Roman" w:hAnsi="Arial" w:cs="Arial"/>
          <w:b/>
          <w:color w:val="000000"/>
        </w:rPr>
      </w:pPr>
    </w:p>
    <w:p w:rsidR="00011365" w:rsidRPr="00B879F5" w:rsidRDefault="00011365" w:rsidP="00595FB1">
      <w:pPr>
        <w:jc w:val="both"/>
        <w:textAlignment w:val="center"/>
        <w:rPr>
          <w:rFonts w:ascii="Arial" w:eastAsia="Times New Roman" w:hAnsi="Arial" w:cs="Arial"/>
          <w:color w:val="000000"/>
        </w:rPr>
      </w:pPr>
    </w:p>
    <w:sectPr w:rsidR="00011365" w:rsidRPr="00B879F5" w:rsidSect="003053E9">
      <w:headerReference w:type="default" r:id="rId7"/>
      <w:footerReference w:type="default" r:id="rId8"/>
      <w:pgSz w:w="12240" w:h="15840"/>
      <w:pgMar w:top="2552" w:right="1418"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E63" w:rsidRDefault="00295E63" w:rsidP="00703026">
      <w:r>
        <w:separator/>
      </w:r>
    </w:p>
  </w:endnote>
  <w:endnote w:type="continuationSeparator" w:id="0">
    <w:p w:rsidR="00295E63" w:rsidRDefault="00295E63" w:rsidP="0070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15912"/>
      <w:docPartObj>
        <w:docPartGallery w:val="Page Numbers (Bottom of Page)"/>
        <w:docPartUnique/>
      </w:docPartObj>
    </w:sdtPr>
    <w:sdtEndPr/>
    <w:sdtContent>
      <w:p w:rsidR="00E02895" w:rsidRDefault="00E02895">
        <w:pPr>
          <w:pStyle w:val="Piedepgina"/>
          <w:jc w:val="right"/>
        </w:pPr>
        <w:r>
          <w:fldChar w:fldCharType="begin"/>
        </w:r>
        <w:r>
          <w:instrText>PAGE   \* MERGEFORMAT</w:instrText>
        </w:r>
        <w:r>
          <w:fldChar w:fldCharType="separate"/>
        </w:r>
        <w:r w:rsidR="002A05F5" w:rsidRPr="002A05F5">
          <w:rPr>
            <w:noProof/>
            <w:lang w:val="es-ES"/>
          </w:rPr>
          <w:t>1</w:t>
        </w:r>
        <w:r>
          <w:fldChar w:fldCharType="end"/>
        </w:r>
      </w:p>
    </w:sdtContent>
  </w:sdt>
  <w:p w:rsidR="00E02895" w:rsidRDefault="00E0289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E63" w:rsidRDefault="00295E63" w:rsidP="00703026">
      <w:r>
        <w:separator/>
      </w:r>
    </w:p>
  </w:footnote>
  <w:footnote w:type="continuationSeparator" w:id="0">
    <w:p w:rsidR="00295E63" w:rsidRDefault="00295E63" w:rsidP="00703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3154875"/>
      <w:docPartObj>
        <w:docPartGallery w:val="Page Numbers (Top of Page)"/>
        <w:docPartUnique/>
      </w:docPartObj>
    </w:sdtPr>
    <w:sdtEndPr/>
    <w:sdtContent>
      <w:p w:rsidR="00703026" w:rsidRDefault="0059391F" w:rsidP="0059391F">
        <w:pPr>
          <w:pStyle w:val="Encabezado"/>
          <w:jc w:val="center"/>
        </w:pPr>
        <w:r>
          <w:rPr>
            <w:noProof/>
          </w:rPr>
          <w:drawing>
            <wp:inline distT="0" distB="0" distL="0" distR="0" wp14:anchorId="1BF8DAB7" wp14:editId="34EB5507">
              <wp:extent cx="2581275" cy="764708"/>
              <wp:effectExtent l="0" t="0" r="0" b="0"/>
              <wp:docPr id="1" name="Imagen 1" descr="http://tatacabello.com/wp-content/uploads/2015/06/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tacabello.com/wp-content/uploads/2015/06/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5594" cy="771913"/>
                      </a:xfrm>
                      <a:prstGeom prst="rect">
                        <a:avLst/>
                      </a:prstGeom>
                      <a:noFill/>
                      <a:ln>
                        <a:noFill/>
                      </a:ln>
                    </pic:spPr>
                  </pic:pic>
                </a:graphicData>
              </a:graphic>
            </wp:inline>
          </w:drawing>
        </w:r>
      </w:p>
    </w:sdtContent>
  </w:sdt>
  <w:p w:rsidR="00703026" w:rsidRDefault="007030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C01CE4"/>
    <w:multiLevelType w:val="hybridMultilevel"/>
    <w:tmpl w:val="516E5026"/>
    <w:lvl w:ilvl="0" w:tplc="8B2A756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04D"/>
    <w:rsid w:val="00011365"/>
    <w:rsid w:val="001A0DAB"/>
    <w:rsid w:val="001C3670"/>
    <w:rsid w:val="001E43EE"/>
    <w:rsid w:val="00205C2B"/>
    <w:rsid w:val="00295E63"/>
    <w:rsid w:val="002A05F5"/>
    <w:rsid w:val="003053E9"/>
    <w:rsid w:val="003333DB"/>
    <w:rsid w:val="00373F20"/>
    <w:rsid w:val="00381132"/>
    <w:rsid w:val="004967DA"/>
    <w:rsid w:val="004C3523"/>
    <w:rsid w:val="0057704D"/>
    <w:rsid w:val="0059391F"/>
    <w:rsid w:val="00595FB1"/>
    <w:rsid w:val="005F46E8"/>
    <w:rsid w:val="006564A0"/>
    <w:rsid w:val="00696EC7"/>
    <w:rsid w:val="00703026"/>
    <w:rsid w:val="007440BC"/>
    <w:rsid w:val="007579AE"/>
    <w:rsid w:val="007B56C3"/>
    <w:rsid w:val="007F7ACB"/>
    <w:rsid w:val="008B533D"/>
    <w:rsid w:val="008C0032"/>
    <w:rsid w:val="00A338A2"/>
    <w:rsid w:val="00B12A96"/>
    <w:rsid w:val="00B431EF"/>
    <w:rsid w:val="00B879F5"/>
    <w:rsid w:val="00C95584"/>
    <w:rsid w:val="00CA6580"/>
    <w:rsid w:val="00CC4CDD"/>
    <w:rsid w:val="00D71115"/>
    <w:rsid w:val="00DB6E96"/>
    <w:rsid w:val="00E02895"/>
    <w:rsid w:val="00E63319"/>
    <w:rsid w:val="00EA48D2"/>
    <w:rsid w:val="00F0470D"/>
    <w:rsid w:val="00FD6525"/>
    <w:rsid w:val="00FF2DF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2359BF-2746-44BB-B8F8-5D91CEFD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04D"/>
    <w:pPr>
      <w:spacing w:after="0" w:line="240" w:lineRule="auto"/>
    </w:pPr>
    <w:rPr>
      <w:rFonts w:ascii="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7704D"/>
    <w:pPr>
      <w:spacing w:before="100" w:beforeAutospacing="1" w:after="100" w:afterAutospacing="1"/>
    </w:pPr>
  </w:style>
  <w:style w:type="character" w:customStyle="1" w:styleId="apple-converted-space">
    <w:name w:val="apple-converted-space"/>
    <w:basedOn w:val="Fuentedeprrafopredeter"/>
    <w:rsid w:val="0057704D"/>
  </w:style>
  <w:style w:type="character" w:styleId="Textoennegrita">
    <w:name w:val="Strong"/>
    <w:basedOn w:val="Fuentedeprrafopredeter"/>
    <w:uiPriority w:val="22"/>
    <w:qFormat/>
    <w:rsid w:val="00CA6580"/>
    <w:rPr>
      <w:b/>
      <w:bCs/>
    </w:rPr>
  </w:style>
  <w:style w:type="character" w:customStyle="1" w:styleId="SinespaciadoCar">
    <w:name w:val="Sin espaciado Car"/>
    <w:link w:val="Sinespaciado"/>
    <w:uiPriority w:val="1"/>
    <w:locked/>
    <w:rsid w:val="00011365"/>
    <w:rPr>
      <w:rFonts w:ascii="Calibri" w:hAnsi="Calibri"/>
    </w:rPr>
  </w:style>
  <w:style w:type="paragraph" w:styleId="Sinespaciado">
    <w:name w:val="No Spacing"/>
    <w:link w:val="SinespaciadoCar"/>
    <w:uiPriority w:val="1"/>
    <w:qFormat/>
    <w:rsid w:val="00011365"/>
    <w:pPr>
      <w:spacing w:after="0" w:line="240" w:lineRule="auto"/>
    </w:pPr>
    <w:rPr>
      <w:rFonts w:ascii="Calibri" w:hAnsi="Calibri"/>
    </w:rPr>
  </w:style>
  <w:style w:type="paragraph" w:styleId="Encabezado">
    <w:name w:val="header"/>
    <w:basedOn w:val="Normal"/>
    <w:link w:val="EncabezadoCar"/>
    <w:uiPriority w:val="99"/>
    <w:unhideWhenUsed/>
    <w:rsid w:val="00703026"/>
    <w:pPr>
      <w:tabs>
        <w:tab w:val="center" w:pos="4419"/>
        <w:tab w:val="right" w:pos="8838"/>
      </w:tabs>
    </w:pPr>
  </w:style>
  <w:style w:type="character" w:customStyle="1" w:styleId="EncabezadoCar">
    <w:name w:val="Encabezado Car"/>
    <w:basedOn w:val="Fuentedeprrafopredeter"/>
    <w:link w:val="Encabezado"/>
    <w:uiPriority w:val="99"/>
    <w:rsid w:val="00703026"/>
    <w:rPr>
      <w:rFonts w:ascii="Times New Roman" w:hAnsi="Times New Roman" w:cs="Times New Roman"/>
      <w:sz w:val="24"/>
      <w:szCs w:val="24"/>
      <w:lang w:eastAsia="es-CO"/>
    </w:rPr>
  </w:style>
  <w:style w:type="paragraph" w:styleId="Piedepgina">
    <w:name w:val="footer"/>
    <w:basedOn w:val="Normal"/>
    <w:link w:val="PiedepginaCar"/>
    <w:uiPriority w:val="99"/>
    <w:unhideWhenUsed/>
    <w:rsid w:val="00703026"/>
    <w:pPr>
      <w:tabs>
        <w:tab w:val="center" w:pos="4419"/>
        <w:tab w:val="right" w:pos="8838"/>
      </w:tabs>
    </w:pPr>
  </w:style>
  <w:style w:type="character" w:customStyle="1" w:styleId="PiedepginaCar">
    <w:name w:val="Pie de página Car"/>
    <w:basedOn w:val="Fuentedeprrafopredeter"/>
    <w:link w:val="Piedepgina"/>
    <w:uiPriority w:val="99"/>
    <w:rsid w:val="00703026"/>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38501">
      <w:bodyDiv w:val="1"/>
      <w:marLeft w:val="0"/>
      <w:marRight w:val="0"/>
      <w:marTop w:val="0"/>
      <w:marBottom w:val="0"/>
      <w:divBdr>
        <w:top w:val="none" w:sz="0" w:space="0" w:color="auto"/>
        <w:left w:val="none" w:sz="0" w:space="0" w:color="auto"/>
        <w:bottom w:val="none" w:sz="0" w:space="0" w:color="auto"/>
        <w:right w:val="none" w:sz="0" w:space="0" w:color="auto"/>
      </w:divBdr>
    </w:div>
    <w:div w:id="338776966">
      <w:bodyDiv w:val="1"/>
      <w:marLeft w:val="0"/>
      <w:marRight w:val="0"/>
      <w:marTop w:val="0"/>
      <w:marBottom w:val="0"/>
      <w:divBdr>
        <w:top w:val="none" w:sz="0" w:space="0" w:color="auto"/>
        <w:left w:val="none" w:sz="0" w:space="0" w:color="auto"/>
        <w:bottom w:val="none" w:sz="0" w:space="0" w:color="auto"/>
        <w:right w:val="none" w:sz="0" w:space="0" w:color="auto"/>
      </w:divBdr>
    </w:div>
    <w:div w:id="449864998">
      <w:bodyDiv w:val="1"/>
      <w:marLeft w:val="0"/>
      <w:marRight w:val="0"/>
      <w:marTop w:val="0"/>
      <w:marBottom w:val="0"/>
      <w:divBdr>
        <w:top w:val="none" w:sz="0" w:space="0" w:color="auto"/>
        <w:left w:val="none" w:sz="0" w:space="0" w:color="auto"/>
        <w:bottom w:val="none" w:sz="0" w:space="0" w:color="auto"/>
        <w:right w:val="none" w:sz="0" w:space="0" w:color="auto"/>
      </w:divBdr>
    </w:div>
    <w:div w:id="781725371">
      <w:bodyDiv w:val="1"/>
      <w:marLeft w:val="0"/>
      <w:marRight w:val="0"/>
      <w:marTop w:val="0"/>
      <w:marBottom w:val="0"/>
      <w:divBdr>
        <w:top w:val="none" w:sz="0" w:space="0" w:color="auto"/>
        <w:left w:val="none" w:sz="0" w:space="0" w:color="auto"/>
        <w:bottom w:val="none" w:sz="0" w:space="0" w:color="auto"/>
        <w:right w:val="none" w:sz="0" w:space="0" w:color="auto"/>
      </w:divBdr>
    </w:div>
    <w:div w:id="1210804871">
      <w:bodyDiv w:val="1"/>
      <w:marLeft w:val="0"/>
      <w:marRight w:val="0"/>
      <w:marTop w:val="0"/>
      <w:marBottom w:val="0"/>
      <w:divBdr>
        <w:top w:val="none" w:sz="0" w:space="0" w:color="auto"/>
        <w:left w:val="none" w:sz="0" w:space="0" w:color="auto"/>
        <w:bottom w:val="none" w:sz="0" w:space="0" w:color="auto"/>
        <w:right w:val="none" w:sz="0" w:space="0" w:color="auto"/>
      </w:divBdr>
    </w:div>
    <w:div w:id="1985430012">
      <w:bodyDiv w:val="1"/>
      <w:marLeft w:val="0"/>
      <w:marRight w:val="0"/>
      <w:marTop w:val="0"/>
      <w:marBottom w:val="0"/>
      <w:divBdr>
        <w:top w:val="none" w:sz="0" w:space="0" w:color="auto"/>
        <w:left w:val="none" w:sz="0" w:space="0" w:color="auto"/>
        <w:bottom w:val="none" w:sz="0" w:space="0" w:color="auto"/>
        <w:right w:val="none" w:sz="0" w:space="0" w:color="auto"/>
      </w:divBdr>
    </w:div>
    <w:div w:id="2054234514">
      <w:bodyDiv w:val="1"/>
      <w:marLeft w:val="0"/>
      <w:marRight w:val="0"/>
      <w:marTop w:val="0"/>
      <w:marBottom w:val="0"/>
      <w:divBdr>
        <w:top w:val="none" w:sz="0" w:space="0" w:color="auto"/>
        <w:left w:val="none" w:sz="0" w:space="0" w:color="auto"/>
        <w:bottom w:val="none" w:sz="0" w:space="0" w:color="auto"/>
        <w:right w:val="none" w:sz="0" w:space="0" w:color="auto"/>
      </w:divBdr>
      <w:divsChild>
        <w:div w:id="489490680">
          <w:marLeft w:val="0"/>
          <w:marRight w:val="0"/>
          <w:marTop w:val="0"/>
          <w:marBottom w:val="0"/>
          <w:divBdr>
            <w:top w:val="none" w:sz="0" w:space="0" w:color="auto"/>
            <w:left w:val="none" w:sz="0" w:space="0" w:color="auto"/>
            <w:bottom w:val="none" w:sz="0" w:space="0" w:color="auto"/>
            <w:right w:val="none" w:sz="0" w:space="0" w:color="auto"/>
          </w:divBdr>
        </w:div>
        <w:div w:id="749810100">
          <w:marLeft w:val="0"/>
          <w:marRight w:val="0"/>
          <w:marTop w:val="0"/>
          <w:marBottom w:val="0"/>
          <w:divBdr>
            <w:top w:val="none" w:sz="0" w:space="0" w:color="auto"/>
            <w:left w:val="none" w:sz="0" w:space="0" w:color="auto"/>
            <w:bottom w:val="none" w:sz="0" w:space="0" w:color="auto"/>
            <w:right w:val="none" w:sz="0" w:space="0" w:color="auto"/>
          </w:divBdr>
        </w:div>
        <w:div w:id="1256790572">
          <w:marLeft w:val="0"/>
          <w:marRight w:val="0"/>
          <w:marTop w:val="0"/>
          <w:marBottom w:val="0"/>
          <w:divBdr>
            <w:top w:val="none" w:sz="0" w:space="0" w:color="auto"/>
            <w:left w:val="none" w:sz="0" w:space="0" w:color="auto"/>
            <w:bottom w:val="none" w:sz="0" w:space="0" w:color="auto"/>
            <w:right w:val="none" w:sz="0" w:space="0" w:color="auto"/>
          </w:divBdr>
        </w:div>
        <w:div w:id="706835295">
          <w:marLeft w:val="0"/>
          <w:marRight w:val="0"/>
          <w:marTop w:val="0"/>
          <w:marBottom w:val="0"/>
          <w:divBdr>
            <w:top w:val="none" w:sz="0" w:space="0" w:color="auto"/>
            <w:left w:val="none" w:sz="0" w:space="0" w:color="auto"/>
            <w:bottom w:val="none" w:sz="0" w:space="0" w:color="auto"/>
            <w:right w:val="none" w:sz="0" w:space="0" w:color="auto"/>
          </w:divBdr>
        </w:div>
        <w:div w:id="693120485">
          <w:marLeft w:val="0"/>
          <w:marRight w:val="0"/>
          <w:marTop w:val="0"/>
          <w:marBottom w:val="0"/>
          <w:divBdr>
            <w:top w:val="none" w:sz="0" w:space="0" w:color="auto"/>
            <w:left w:val="none" w:sz="0" w:space="0" w:color="auto"/>
            <w:bottom w:val="none" w:sz="0" w:space="0" w:color="auto"/>
            <w:right w:val="none" w:sz="0" w:space="0" w:color="auto"/>
          </w:divBdr>
        </w:div>
        <w:div w:id="1309243852">
          <w:marLeft w:val="0"/>
          <w:marRight w:val="0"/>
          <w:marTop w:val="0"/>
          <w:marBottom w:val="0"/>
          <w:divBdr>
            <w:top w:val="none" w:sz="0" w:space="0" w:color="auto"/>
            <w:left w:val="none" w:sz="0" w:space="0" w:color="auto"/>
            <w:bottom w:val="none" w:sz="0" w:space="0" w:color="auto"/>
            <w:right w:val="none" w:sz="0" w:space="0" w:color="auto"/>
          </w:divBdr>
        </w:div>
        <w:div w:id="660888208">
          <w:marLeft w:val="0"/>
          <w:marRight w:val="0"/>
          <w:marTop w:val="0"/>
          <w:marBottom w:val="0"/>
          <w:divBdr>
            <w:top w:val="none" w:sz="0" w:space="0" w:color="auto"/>
            <w:left w:val="none" w:sz="0" w:space="0" w:color="auto"/>
            <w:bottom w:val="none" w:sz="0" w:space="0" w:color="auto"/>
            <w:right w:val="none" w:sz="0" w:space="0" w:color="auto"/>
          </w:divBdr>
        </w:div>
        <w:div w:id="1660503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951</Words>
  <Characters>5233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Alberto Restrepo Medina</dc:creator>
  <cp:lastModifiedBy>admin</cp:lastModifiedBy>
  <cp:revision>2</cp:revision>
  <cp:lastPrinted>2017-05-31T23:15:00Z</cp:lastPrinted>
  <dcterms:created xsi:type="dcterms:W3CDTF">2017-06-06T14:45:00Z</dcterms:created>
  <dcterms:modified xsi:type="dcterms:W3CDTF">2017-06-06T14:45:00Z</dcterms:modified>
</cp:coreProperties>
</file>